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199" w:rsidRPr="00531F52" w:rsidRDefault="00B36199">
      <w:pPr>
        <w:rPr>
          <w:sz w:val="32"/>
          <w:szCs w:val="32"/>
        </w:rPr>
      </w:pPr>
    </w:p>
    <w:p w:rsidR="00B36199" w:rsidRPr="00531F52" w:rsidRDefault="00B36199">
      <w:pPr>
        <w:rPr>
          <w:sz w:val="32"/>
          <w:szCs w:val="32"/>
        </w:rPr>
      </w:pPr>
    </w:p>
    <w:p w:rsidR="00905430" w:rsidRPr="003C7577" w:rsidRDefault="005D186C">
      <w:pPr>
        <w:rPr>
          <w:sz w:val="72"/>
          <w:szCs w:val="32"/>
        </w:rPr>
      </w:pPr>
      <w:r w:rsidRPr="003C7577">
        <w:rPr>
          <w:noProof/>
          <w:sz w:val="72"/>
          <w:szCs w:val="32"/>
        </w:rPr>
        <w:drawing>
          <wp:anchor distT="0" distB="0" distL="114300" distR="114300" simplePos="0" relativeHeight="251658240" behindDoc="1" locked="0" layoutInCell="1" allowOverlap="1">
            <wp:simplePos x="0" y="0"/>
            <wp:positionH relativeFrom="margin">
              <wp:align>left</wp:align>
            </wp:positionH>
            <wp:positionV relativeFrom="paragraph">
              <wp:posOffset>219075</wp:posOffset>
            </wp:positionV>
            <wp:extent cx="1943100" cy="1943100"/>
            <wp:effectExtent l="0" t="0" r="0" b="0"/>
            <wp:wrapTight wrapText="bothSides">
              <wp:wrapPolygon edited="0">
                <wp:start x="0" y="0"/>
                <wp:lineTo x="212" y="21388"/>
                <wp:lineTo x="21388" y="21388"/>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4">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anchor>
        </w:drawing>
      </w:r>
      <w:r w:rsidRPr="003C7577">
        <w:rPr>
          <w:sz w:val="72"/>
          <w:szCs w:val="32"/>
        </w:rPr>
        <w:t>Student’s perception of error in video games</w:t>
      </w:r>
    </w:p>
    <w:p w:rsidR="005D186C" w:rsidRPr="00531F52" w:rsidRDefault="005D186C">
      <w:pPr>
        <w:rPr>
          <w:sz w:val="32"/>
          <w:szCs w:val="32"/>
        </w:rPr>
      </w:pPr>
    </w:p>
    <w:p w:rsidR="005D186C" w:rsidRPr="00531F52" w:rsidRDefault="005D186C" w:rsidP="005D186C">
      <w:pPr>
        <w:spacing w:after="0" w:line="240" w:lineRule="auto"/>
        <w:contextualSpacing/>
        <w:jc w:val="center"/>
        <w:rPr>
          <w:i/>
          <w:sz w:val="32"/>
          <w:szCs w:val="32"/>
        </w:rPr>
      </w:pPr>
      <w:r w:rsidRPr="00531F52">
        <w:rPr>
          <w:i/>
          <w:sz w:val="32"/>
          <w:szCs w:val="32"/>
        </w:rPr>
        <w:t xml:space="preserve">Theodore Sobolewski </w:t>
      </w:r>
    </w:p>
    <w:p w:rsidR="005D186C" w:rsidRPr="00531F52" w:rsidRDefault="005D186C" w:rsidP="005D186C">
      <w:pPr>
        <w:spacing w:after="0" w:line="240" w:lineRule="auto"/>
        <w:contextualSpacing/>
        <w:jc w:val="center"/>
        <w:rPr>
          <w:i/>
          <w:sz w:val="32"/>
          <w:szCs w:val="32"/>
        </w:rPr>
      </w:pPr>
      <w:r w:rsidRPr="00531F52">
        <w:rPr>
          <w:i/>
          <w:sz w:val="32"/>
          <w:szCs w:val="32"/>
        </w:rPr>
        <w:t>Stanley Sobolewski</w:t>
      </w:r>
    </w:p>
    <w:p w:rsidR="005D186C" w:rsidRPr="00531F52" w:rsidRDefault="005D186C" w:rsidP="005D186C">
      <w:pPr>
        <w:spacing w:after="0" w:line="240" w:lineRule="auto"/>
        <w:contextualSpacing/>
        <w:jc w:val="center"/>
        <w:rPr>
          <w:i/>
          <w:sz w:val="32"/>
          <w:szCs w:val="32"/>
        </w:rPr>
      </w:pPr>
      <w:r w:rsidRPr="00531F52">
        <w:rPr>
          <w:i/>
          <w:sz w:val="32"/>
          <w:szCs w:val="32"/>
        </w:rPr>
        <w:t>Department of Physics</w:t>
      </w:r>
    </w:p>
    <w:p w:rsidR="005D186C" w:rsidRPr="00531F52" w:rsidRDefault="005D186C" w:rsidP="005D186C">
      <w:pPr>
        <w:spacing w:after="0" w:line="240" w:lineRule="auto"/>
        <w:contextualSpacing/>
        <w:jc w:val="center"/>
        <w:rPr>
          <w:i/>
          <w:sz w:val="32"/>
          <w:szCs w:val="32"/>
        </w:rPr>
      </w:pPr>
      <w:r w:rsidRPr="00531F52">
        <w:rPr>
          <w:i/>
          <w:sz w:val="32"/>
          <w:szCs w:val="32"/>
        </w:rPr>
        <w:t>Indiana University of Pennsylvania</w:t>
      </w:r>
    </w:p>
    <w:p w:rsidR="005D186C" w:rsidRPr="00531F52" w:rsidRDefault="005D186C" w:rsidP="005D186C">
      <w:pPr>
        <w:spacing w:after="0" w:line="240" w:lineRule="auto"/>
        <w:jc w:val="center"/>
        <w:rPr>
          <w:i/>
          <w:sz w:val="32"/>
          <w:szCs w:val="32"/>
        </w:rPr>
      </w:pPr>
    </w:p>
    <w:p w:rsidR="005C341B" w:rsidRPr="00531F52" w:rsidRDefault="005D186C" w:rsidP="005C341B">
      <w:pPr>
        <w:keepNext/>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spacing w:after="120"/>
        <w:rPr>
          <w:sz w:val="32"/>
          <w:szCs w:val="32"/>
        </w:rPr>
      </w:pPr>
      <w:bookmarkStart w:id="0" w:name="_GoBack"/>
      <w:bookmarkEnd w:id="0"/>
      <w:r w:rsidRPr="00531F52">
        <w:rPr>
          <w:sz w:val="32"/>
          <w:szCs w:val="32"/>
        </w:rPr>
        <w:br w:type="page"/>
      </w:r>
      <w:r w:rsidR="005C341B" w:rsidRPr="00531F52">
        <w:rPr>
          <w:noProof/>
          <w:sz w:val="32"/>
          <w:szCs w:val="32"/>
          <w:u w:val="single"/>
        </w:rPr>
        <w:lastRenderedPageBreak/>
        <w:t>Purpose</w:t>
      </w:r>
      <w:r w:rsidR="005C341B" w:rsidRPr="00531F52">
        <w:rPr>
          <w:sz w:val="32"/>
          <w:szCs w:val="32"/>
          <w:u w:val="single"/>
        </w:rPr>
        <w:t xml:space="preserve"> of the study:  </w:t>
      </w:r>
      <w:r w:rsidR="005C341B" w:rsidRPr="00531F52">
        <w:rPr>
          <w:sz w:val="32"/>
          <w:szCs w:val="32"/>
        </w:rPr>
        <w:t xml:space="preserve">Video games are a significant past time for many college students.  Most video games simulate physical reality in some way.  Game players will enter a world displayed on a screen which represents some real place most likely on this planet. Most every game has some type of motion, be it </w:t>
      </w:r>
      <w:r w:rsidR="005C341B" w:rsidRPr="00531F52">
        <w:rPr>
          <w:noProof/>
          <w:sz w:val="32"/>
          <w:szCs w:val="32"/>
        </w:rPr>
        <w:t>a falling object</w:t>
      </w:r>
      <w:r w:rsidR="005C341B" w:rsidRPr="00531F52">
        <w:rPr>
          <w:sz w:val="32"/>
          <w:szCs w:val="32"/>
        </w:rPr>
        <w:t xml:space="preserve">, a ballistic, or the motion of a car or a person moving across the terrain.  For most young adults, the video game experience occurs years before formal training in physics. My question is – once a student has been exposed to formal physics instruction, will she or he be able to detect inaccurate representation in a video game that purports to show the real world? </w:t>
      </w:r>
    </w:p>
    <w:p w:rsidR="005D186C" w:rsidRPr="00531F52" w:rsidRDefault="005C341B" w:rsidP="005C341B">
      <w:pPr>
        <w:keepNext/>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spacing w:after="120"/>
        <w:rPr>
          <w:sz w:val="32"/>
          <w:szCs w:val="32"/>
        </w:rPr>
      </w:pPr>
      <w:proofErr w:type="gramStart"/>
      <w:r w:rsidRPr="00531F52">
        <w:rPr>
          <w:sz w:val="32"/>
          <w:szCs w:val="32"/>
        </w:rPr>
        <w:t xml:space="preserve">We’re </w:t>
      </w:r>
      <w:r w:rsidRPr="00531F52">
        <w:rPr>
          <w:sz w:val="32"/>
          <w:szCs w:val="32"/>
        </w:rPr>
        <w:t xml:space="preserve"> developing</w:t>
      </w:r>
      <w:proofErr w:type="gramEnd"/>
      <w:r w:rsidRPr="00531F52">
        <w:rPr>
          <w:sz w:val="32"/>
          <w:szCs w:val="32"/>
        </w:rPr>
        <w:t xml:space="preserve"> a simple first person video game involving such common elements such as shooting and ballistic on target or falling bodies.  This game will have two different versions; one in which the laws of Newtonian mechanics are obeyed, the other where motion will be depicted with common misconceptions present in the motion.  (For example, a common misconception is heavier object fall faster than light objects.)  </w:t>
      </w:r>
      <w:r w:rsidRPr="00531F52">
        <w:rPr>
          <w:noProof/>
          <w:sz w:val="32"/>
          <w:szCs w:val="32"/>
        </w:rPr>
        <w:t>Embedded</w:t>
      </w:r>
      <w:r w:rsidRPr="00531F52">
        <w:rPr>
          <w:sz w:val="32"/>
          <w:szCs w:val="32"/>
        </w:rPr>
        <w:t xml:space="preserve"> in the video game will </w:t>
      </w:r>
      <w:r w:rsidRPr="00531F52">
        <w:rPr>
          <w:noProof/>
          <w:sz w:val="32"/>
          <w:szCs w:val="32"/>
        </w:rPr>
        <w:t>be questions</w:t>
      </w:r>
      <w:r w:rsidRPr="00531F52">
        <w:rPr>
          <w:sz w:val="32"/>
          <w:szCs w:val="32"/>
        </w:rPr>
        <w:t xml:space="preserve"> evaluating the subject’s conceptual understanding of physics, as well as questions on the motion observed in the game, along with items regarding past physics experiences. </w:t>
      </w:r>
    </w:p>
    <w:p w:rsidR="005C341B" w:rsidRPr="00531F52" w:rsidRDefault="005C341B" w:rsidP="005C341B">
      <w:pPr>
        <w:rPr>
          <w:sz w:val="32"/>
          <w:szCs w:val="32"/>
        </w:rPr>
      </w:pPr>
      <w:r w:rsidRPr="00531F52">
        <w:rPr>
          <w:sz w:val="32"/>
          <w:szCs w:val="32"/>
        </w:rPr>
        <w:t xml:space="preserve">A quick survey of the </w:t>
      </w:r>
      <w:r w:rsidRPr="00531F52">
        <w:rPr>
          <w:noProof/>
          <w:sz w:val="32"/>
          <w:szCs w:val="32"/>
        </w:rPr>
        <w:t>literature</w:t>
      </w:r>
      <w:r w:rsidRPr="00531F52">
        <w:rPr>
          <w:sz w:val="32"/>
          <w:szCs w:val="32"/>
        </w:rPr>
        <w:t xml:space="preserve"> yields few if any articles that address student’s perceptions of physics misconceptions in video games.  While there are quite a few studies that use video games to enhance instruction, then seem to address our issue directly.</w:t>
      </w:r>
    </w:p>
    <w:p w:rsidR="005C341B" w:rsidRPr="00531F52" w:rsidRDefault="005C341B" w:rsidP="005C341B">
      <w:pPr>
        <w:rPr>
          <w:sz w:val="32"/>
          <w:szCs w:val="32"/>
        </w:rPr>
      </w:pPr>
      <w:r w:rsidRPr="00531F52">
        <w:rPr>
          <w:sz w:val="32"/>
          <w:szCs w:val="32"/>
        </w:rPr>
        <w:t xml:space="preserve">Anderson and Barnett investigated the use of video gaming technology to facilitate the understanding of basic electromagnetism with pre-service elementary teachers.  The impact of </w:t>
      </w:r>
      <w:r w:rsidR="00973C56" w:rsidRPr="00531F52">
        <w:rPr>
          <w:sz w:val="32"/>
          <w:szCs w:val="32"/>
        </w:rPr>
        <w:t xml:space="preserve">subject’s use of a game </w:t>
      </w:r>
      <w:r w:rsidR="00973C56" w:rsidRPr="00531F52">
        <w:rPr>
          <w:sz w:val="32"/>
          <w:szCs w:val="32"/>
        </w:rPr>
        <w:lastRenderedPageBreak/>
        <w:t>called S</w:t>
      </w:r>
      <w:r w:rsidRPr="00531F52">
        <w:rPr>
          <w:sz w:val="32"/>
          <w:szCs w:val="32"/>
        </w:rPr>
        <w:t>upercharged was compared with a group who participated in a more traditional inquiry investigation.</w:t>
      </w:r>
    </w:p>
    <w:p w:rsidR="005C341B" w:rsidRPr="00531F52" w:rsidRDefault="005C341B" w:rsidP="005C341B">
      <w:pPr>
        <w:rPr>
          <w:sz w:val="32"/>
          <w:szCs w:val="32"/>
        </w:rPr>
      </w:pPr>
    </w:p>
    <w:p w:rsidR="005C341B" w:rsidRPr="00531F52" w:rsidRDefault="005C341B" w:rsidP="00B36199">
      <w:pPr>
        <w:jc w:val="center"/>
        <w:rPr>
          <w:b/>
          <w:i/>
          <w:sz w:val="32"/>
          <w:szCs w:val="32"/>
        </w:rPr>
      </w:pPr>
      <w:r w:rsidRPr="00531F52">
        <w:rPr>
          <w:b/>
          <w:i/>
          <w:sz w:val="32"/>
          <w:szCs w:val="32"/>
        </w:rPr>
        <w:t>Essentially, this is a pilot study for future investigations</w:t>
      </w:r>
    </w:p>
    <w:p w:rsidR="005C341B" w:rsidRPr="00531F52" w:rsidRDefault="005C341B" w:rsidP="005C341B">
      <w:pPr>
        <w:rPr>
          <w:sz w:val="32"/>
          <w:szCs w:val="32"/>
        </w:rPr>
      </w:pPr>
      <w:r w:rsidRPr="00531F52">
        <w:rPr>
          <w:sz w:val="32"/>
          <w:szCs w:val="32"/>
        </w:rPr>
        <w:t xml:space="preserve">They found a </w:t>
      </w:r>
      <w:r w:rsidRPr="00531F52">
        <w:rPr>
          <w:noProof/>
          <w:sz w:val="32"/>
          <w:szCs w:val="32"/>
        </w:rPr>
        <w:t>significant</w:t>
      </w:r>
      <w:r w:rsidRPr="00531F52">
        <w:rPr>
          <w:sz w:val="32"/>
          <w:szCs w:val="32"/>
        </w:rPr>
        <w:t xml:space="preserve"> difference between the control and experimental groups on the gains from pre-to-post assessment. However, while students in the experimental group performed better than their control group peers, they rated their knowledge of the topic lower than the control group. Results of this study show that video games can lead to positive learning outcomes.</w:t>
      </w:r>
    </w:p>
    <w:p w:rsidR="005C341B" w:rsidRPr="00531F52" w:rsidRDefault="005C341B" w:rsidP="005C341B">
      <w:pPr>
        <w:rPr>
          <w:sz w:val="32"/>
          <w:szCs w:val="32"/>
        </w:rPr>
      </w:pPr>
      <w:r w:rsidRPr="00531F52">
        <w:rPr>
          <w:sz w:val="32"/>
          <w:szCs w:val="32"/>
        </w:rPr>
        <w:t xml:space="preserve">Green </w:t>
      </w:r>
      <w:proofErr w:type="gramStart"/>
      <w:r w:rsidRPr="00531F52">
        <w:rPr>
          <w:sz w:val="32"/>
          <w:szCs w:val="32"/>
        </w:rPr>
        <w:t>et</w:t>
      </w:r>
      <w:proofErr w:type="gramEnd"/>
      <w:r w:rsidRPr="00531F52">
        <w:rPr>
          <w:sz w:val="32"/>
          <w:szCs w:val="32"/>
        </w:rPr>
        <w:t xml:space="preserve">. </w:t>
      </w:r>
      <w:proofErr w:type="gramStart"/>
      <w:r w:rsidRPr="00531F52">
        <w:rPr>
          <w:sz w:val="32"/>
          <w:szCs w:val="32"/>
        </w:rPr>
        <w:t>al</w:t>
      </w:r>
      <w:proofErr w:type="gramEnd"/>
      <w:r w:rsidRPr="00531F52">
        <w:rPr>
          <w:sz w:val="32"/>
          <w:szCs w:val="32"/>
        </w:rPr>
        <w:t>. investigated the effect of action gaming on the spatial distribution of attention. The authors used the flanker compatibility effect to separately assess center and peripheral attentional resources in gamers versus non-gamers. Gamers exhibited an enhancement in attentional resources compared with non-gamers, not only in the periphery but also in central vision. The authors then used a target localization task to unambiguously establish that gaming enhances the spatial distribution of visual attention over a wide field of view. Gamers were more accurate than non-gamers at all eccentricities tested, and the advantage held even when a concurrent center task was added, ruling out a trade-off between central and peripheral attention. By establishing the causal role of gaming through training studies, the authors demonstrate that action gaming enhances visuospatial attention throughout the visual field</w:t>
      </w:r>
    </w:p>
    <w:p w:rsidR="005C341B" w:rsidRPr="00531F52" w:rsidRDefault="005C341B" w:rsidP="005C341B">
      <w:pPr>
        <w:rPr>
          <w:sz w:val="32"/>
          <w:szCs w:val="32"/>
        </w:rPr>
      </w:pPr>
    </w:p>
    <w:p w:rsidR="005C341B" w:rsidRPr="00531F52" w:rsidRDefault="005C341B" w:rsidP="005C341B">
      <w:pPr>
        <w:rPr>
          <w:sz w:val="32"/>
          <w:szCs w:val="32"/>
        </w:rPr>
      </w:pPr>
      <w:r w:rsidRPr="00531F52">
        <w:rPr>
          <w:sz w:val="32"/>
          <w:szCs w:val="32"/>
        </w:rPr>
        <w:lastRenderedPageBreak/>
        <w:t xml:space="preserve">Rodrigues and </w:t>
      </w:r>
      <w:proofErr w:type="spellStart"/>
      <w:r w:rsidRPr="00531F52">
        <w:rPr>
          <w:sz w:val="32"/>
          <w:szCs w:val="32"/>
        </w:rPr>
        <w:t>Carvalho</w:t>
      </w:r>
      <w:proofErr w:type="spellEnd"/>
      <w:r w:rsidRPr="00531F52">
        <w:rPr>
          <w:sz w:val="32"/>
          <w:szCs w:val="32"/>
        </w:rPr>
        <w:t xml:space="preserve"> present classroom strategies for teaching kinematics at middle and high school levels, using Rovio's famous game </w:t>
      </w:r>
      <w:r w:rsidRPr="00531F52">
        <w:rPr>
          <w:i/>
          <w:iCs/>
          <w:sz w:val="32"/>
          <w:szCs w:val="32"/>
        </w:rPr>
        <w:t>Angry Birds</w:t>
      </w:r>
      <w:r w:rsidRPr="00531F52">
        <w:rPr>
          <w:sz w:val="32"/>
          <w:szCs w:val="32"/>
        </w:rPr>
        <w:t xml:space="preserve"> and the video analyzer software Tracker. We show how to take advantage of this entertaining video game, by recording appropriate motions of birds that students can explore by manipulating data, characterizing the red bird's motion and fitting results to physical models. A dynamic approach is also addressed to link gravitational force to projectile trajectories.</w:t>
      </w:r>
    </w:p>
    <w:p w:rsidR="005C341B" w:rsidRPr="00531F52" w:rsidRDefault="005C341B" w:rsidP="005C341B">
      <w:pPr>
        <w:rPr>
          <w:sz w:val="32"/>
          <w:szCs w:val="32"/>
        </w:rPr>
      </w:pPr>
    </w:p>
    <w:p w:rsidR="005C341B" w:rsidRPr="00531F52" w:rsidRDefault="005C341B" w:rsidP="005C341B">
      <w:pPr>
        <w:pBdr>
          <w:bottom w:val="single" w:sz="6" w:space="1" w:color="auto"/>
        </w:pBdr>
        <w:rPr>
          <w:sz w:val="32"/>
          <w:szCs w:val="32"/>
        </w:rPr>
      </w:pPr>
      <w:r w:rsidRPr="00531F52">
        <w:rPr>
          <w:sz w:val="32"/>
          <w:szCs w:val="32"/>
        </w:rPr>
        <w:t xml:space="preserve">Shute et al.  </w:t>
      </w:r>
      <w:proofErr w:type="gramStart"/>
      <w:r w:rsidRPr="00531F52">
        <w:rPr>
          <w:sz w:val="32"/>
          <w:szCs w:val="32"/>
        </w:rPr>
        <w:t>are</w:t>
      </w:r>
      <w:proofErr w:type="gramEnd"/>
      <w:r w:rsidRPr="00531F52">
        <w:rPr>
          <w:sz w:val="32"/>
          <w:szCs w:val="32"/>
        </w:rPr>
        <w:t xml:space="preserve"> examining ways to leverage video gaming environments to assess and support student competencies. The authors examine gameplay and learning using a physics game they developed called Newton's Playground. The sample consisted of 167 eighth- and ninth-grade students who played Newton's Playground for about 4 </w:t>
      </w:r>
      <w:r w:rsidRPr="00531F52">
        <w:rPr>
          <w:noProof/>
          <w:sz w:val="32"/>
          <w:szCs w:val="32"/>
        </w:rPr>
        <w:t>hour</w:t>
      </w:r>
      <w:r w:rsidRPr="00531F52">
        <w:rPr>
          <w:sz w:val="32"/>
          <w:szCs w:val="32"/>
        </w:rPr>
        <w:t xml:space="preserve"> over the course of 1.5 weeks. Findings include significant pretest–posttest physics gains, and significant relations between in-game indicators and learning.</w:t>
      </w:r>
    </w:p>
    <w:p w:rsidR="005C341B" w:rsidRPr="00531F52" w:rsidRDefault="005C341B">
      <w:pPr>
        <w:rPr>
          <w:sz w:val="32"/>
          <w:szCs w:val="32"/>
        </w:rPr>
      </w:pPr>
      <w:r w:rsidRPr="00531F52">
        <w:rPr>
          <w:sz w:val="32"/>
          <w:szCs w:val="32"/>
        </w:rPr>
        <w:t>Process</w:t>
      </w:r>
    </w:p>
    <w:p w:rsidR="00973C56" w:rsidRPr="00531F52" w:rsidRDefault="00973C56">
      <w:pPr>
        <w:rPr>
          <w:sz w:val="32"/>
          <w:szCs w:val="32"/>
        </w:rPr>
      </w:pPr>
      <w:r w:rsidRPr="00531F52">
        <w:rPr>
          <w:sz w:val="32"/>
          <w:szCs w:val="32"/>
        </w:rPr>
        <w:t xml:space="preserve">Subjects initially took a 10 question assessment. Questions were selected from the FCI, one question for each of Newton’s laws. This was done to minimize the time on the task. </w:t>
      </w:r>
      <w:r w:rsidR="003C7577">
        <w:rPr>
          <w:sz w:val="32"/>
          <w:szCs w:val="32"/>
        </w:rPr>
        <w:t>(We call this the “Mini-FCI”</w:t>
      </w:r>
    </w:p>
    <w:p w:rsidR="00531F52" w:rsidRPr="00531F52" w:rsidRDefault="00973C56">
      <w:pPr>
        <w:rPr>
          <w:sz w:val="32"/>
          <w:szCs w:val="32"/>
        </w:rPr>
      </w:pPr>
      <w:r w:rsidRPr="00531F52">
        <w:rPr>
          <w:sz w:val="32"/>
          <w:szCs w:val="32"/>
        </w:rPr>
        <w:t xml:space="preserve">Next they were presented with four video clips. The subjects had to state if there was an error or not. If they thought there was an error, they </w:t>
      </w:r>
      <w:r w:rsidR="00B36199" w:rsidRPr="00531F52">
        <w:rPr>
          <w:sz w:val="32"/>
          <w:szCs w:val="32"/>
        </w:rPr>
        <w:t>were asked to state the error.</w:t>
      </w:r>
      <w:r w:rsidR="00531F52" w:rsidRPr="00531F52">
        <w:rPr>
          <w:sz w:val="32"/>
          <w:szCs w:val="32"/>
        </w:rPr>
        <w:t xml:space="preserve"> </w:t>
      </w:r>
    </w:p>
    <w:p w:rsidR="00531F52" w:rsidRDefault="00531F52" w:rsidP="00531F52">
      <w:pPr>
        <w:jc w:val="center"/>
        <w:rPr>
          <w:b/>
          <w:sz w:val="32"/>
          <w:szCs w:val="32"/>
        </w:rPr>
      </w:pPr>
    </w:p>
    <w:p w:rsidR="00531F52" w:rsidRDefault="00531F52" w:rsidP="00531F52">
      <w:pPr>
        <w:jc w:val="center"/>
        <w:rPr>
          <w:b/>
          <w:sz w:val="32"/>
          <w:szCs w:val="32"/>
        </w:rPr>
      </w:pPr>
    </w:p>
    <w:p w:rsidR="00973C56" w:rsidRPr="00531F52" w:rsidRDefault="00531F52" w:rsidP="00531F52">
      <w:pPr>
        <w:jc w:val="center"/>
        <w:rPr>
          <w:b/>
          <w:sz w:val="32"/>
          <w:szCs w:val="32"/>
        </w:rPr>
      </w:pPr>
      <w:r w:rsidRPr="00531F52">
        <w:rPr>
          <w:b/>
          <w:sz w:val="32"/>
          <w:szCs w:val="32"/>
        </w:rPr>
        <w:lastRenderedPageBreak/>
        <w:t>Example –</w:t>
      </w:r>
      <w:r w:rsidRPr="00531F52">
        <w:rPr>
          <w:b/>
          <w:sz w:val="32"/>
          <w:szCs w:val="32"/>
        </w:rPr>
        <w:t xml:space="preserve"> Falling</w:t>
      </w:r>
    </w:p>
    <w:p w:rsidR="00531F52" w:rsidRPr="00531F52" w:rsidRDefault="005E310D">
      <w:pPr>
        <w:rPr>
          <w:sz w:val="32"/>
          <w:szCs w:val="32"/>
        </w:rPr>
      </w:pPr>
      <w:r w:rsidRPr="00531F52">
        <w:rPr>
          <w:noProof/>
          <w:sz w:val="32"/>
          <w:szCs w:val="32"/>
        </w:rPr>
        <w:drawing>
          <wp:anchor distT="0" distB="0" distL="114300" distR="114300" simplePos="0" relativeHeight="251659264" behindDoc="1" locked="0" layoutInCell="1" allowOverlap="1">
            <wp:simplePos x="0" y="0"/>
            <wp:positionH relativeFrom="margin">
              <wp:align>left</wp:align>
            </wp:positionH>
            <wp:positionV relativeFrom="paragraph">
              <wp:posOffset>104140</wp:posOffset>
            </wp:positionV>
            <wp:extent cx="2362200" cy="2016125"/>
            <wp:effectExtent l="0" t="0" r="0" b="3175"/>
            <wp:wrapThrough wrapText="bothSides">
              <wp:wrapPolygon edited="0">
                <wp:start x="0" y="0"/>
                <wp:lineTo x="0" y="21430"/>
                <wp:lineTo x="21426" y="21430"/>
                <wp:lineTo x="2142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5039" cy="2027581"/>
                    </a:xfrm>
                    <a:prstGeom prst="rect">
                      <a:avLst/>
                    </a:prstGeom>
                  </pic:spPr>
                </pic:pic>
              </a:graphicData>
            </a:graphic>
            <wp14:sizeRelH relativeFrom="margin">
              <wp14:pctWidth>0</wp14:pctWidth>
            </wp14:sizeRelH>
            <wp14:sizeRelV relativeFrom="margin">
              <wp14:pctHeight>0</wp14:pctHeight>
            </wp14:sizeRelV>
          </wp:anchor>
        </w:drawing>
      </w:r>
      <w:r w:rsidRPr="00531F52">
        <w:rPr>
          <w:sz w:val="32"/>
          <w:szCs w:val="32"/>
        </w:rPr>
        <w:t xml:space="preserve"> </w:t>
      </w:r>
    </w:p>
    <w:p w:rsidR="005C341B" w:rsidRPr="00531F52" w:rsidRDefault="005E310D">
      <w:pPr>
        <w:rPr>
          <w:b/>
          <w:sz w:val="32"/>
          <w:szCs w:val="32"/>
        </w:rPr>
      </w:pPr>
      <w:r w:rsidRPr="00531F52">
        <w:rPr>
          <w:sz w:val="32"/>
          <w:szCs w:val="32"/>
        </w:rPr>
        <w:t xml:space="preserve">It is stated that the two blocks below have different masses. As they fall mass identified as heavier hits the ground first. </w:t>
      </w:r>
      <w:r w:rsidR="00B36199" w:rsidRPr="00531F52">
        <w:rPr>
          <w:b/>
          <w:sz w:val="32"/>
          <w:szCs w:val="32"/>
        </w:rPr>
        <w:t xml:space="preserve">This item had errors, yet half of the respondents stated no error was present. </w:t>
      </w:r>
    </w:p>
    <w:p w:rsidR="00B36199" w:rsidRPr="00531F52" w:rsidRDefault="00B36199">
      <w:pPr>
        <w:rPr>
          <w:sz w:val="32"/>
          <w:szCs w:val="32"/>
        </w:rPr>
      </w:pPr>
    </w:p>
    <w:tbl>
      <w:tblPr>
        <w:tblStyle w:val="TableGridLight"/>
        <w:tblpPr w:leftFromText="180" w:rightFromText="180" w:vertAnchor="text" w:horzAnchor="margin" w:tblpY="509"/>
        <w:tblW w:w="10008" w:type="dxa"/>
        <w:tblLook w:val="04A0" w:firstRow="1" w:lastRow="0" w:firstColumn="1" w:lastColumn="0" w:noHBand="0" w:noVBand="1"/>
      </w:tblPr>
      <w:tblGrid>
        <w:gridCol w:w="8365"/>
        <w:gridCol w:w="1643"/>
      </w:tblGrid>
      <w:tr w:rsidR="00531F52" w:rsidRPr="00531F52" w:rsidTr="00531F52">
        <w:trPr>
          <w:trHeight w:val="300"/>
        </w:trPr>
        <w:tc>
          <w:tcPr>
            <w:tcW w:w="8365" w:type="dxa"/>
            <w:noWrap/>
          </w:tcPr>
          <w:p w:rsidR="00531F52" w:rsidRPr="00531F52" w:rsidRDefault="00531F52" w:rsidP="00531F52">
            <w:pPr>
              <w:rPr>
                <w:rFonts w:eastAsia="Times New Roman" w:cs="Times New Roman"/>
                <w:color w:val="000000"/>
                <w:sz w:val="32"/>
                <w:szCs w:val="32"/>
              </w:rPr>
            </w:pPr>
            <w:r w:rsidRPr="00531F52">
              <w:rPr>
                <w:rFonts w:eastAsia="Times New Roman" w:cs="Times New Roman"/>
                <w:color w:val="000000"/>
                <w:sz w:val="32"/>
                <w:szCs w:val="32"/>
              </w:rPr>
              <w:t>Subject’s response</w:t>
            </w:r>
          </w:p>
        </w:tc>
        <w:tc>
          <w:tcPr>
            <w:tcW w:w="1643" w:type="dxa"/>
            <w:noWrap/>
          </w:tcPr>
          <w:p w:rsidR="00531F52" w:rsidRPr="00531F52" w:rsidRDefault="00531F52" w:rsidP="00531F52">
            <w:pPr>
              <w:jc w:val="center"/>
              <w:rPr>
                <w:rFonts w:eastAsia="Times New Roman" w:cs="Times New Roman"/>
                <w:color w:val="000000"/>
                <w:sz w:val="32"/>
                <w:szCs w:val="32"/>
              </w:rPr>
            </w:pPr>
            <w:r w:rsidRPr="00531F52">
              <w:rPr>
                <w:rFonts w:eastAsia="Times New Roman" w:cs="Times New Roman"/>
                <w:color w:val="000000"/>
                <w:sz w:val="32"/>
                <w:szCs w:val="32"/>
              </w:rPr>
              <w:t>Mini FCI Score</w:t>
            </w:r>
          </w:p>
        </w:tc>
      </w:tr>
      <w:tr w:rsidR="00531F52" w:rsidRPr="005E310D" w:rsidTr="00531F52">
        <w:trPr>
          <w:trHeight w:val="300"/>
        </w:trPr>
        <w:tc>
          <w:tcPr>
            <w:tcW w:w="8365" w:type="dxa"/>
            <w:noWrap/>
            <w:hideMark/>
          </w:tcPr>
          <w:p w:rsidR="00531F52" w:rsidRPr="005E310D" w:rsidRDefault="00531F52" w:rsidP="00531F52">
            <w:pPr>
              <w:rPr>
                <w:rFonts w:eastAsia="Times New Roman" w:cs="Times New Roman"/>
                <w:color w:val="000000"/>
                <w:sz w:val="32"/>
                <w:szCs w:val="32"/>
              </w:rPr>
            </w:pPr>
            <w:r w:rsidRPr="005E310D">
              <w:rPr>
                <w:rFonts w:eastAsia="Times New Roman" w:cs="Times New Roman"/>
                <w:color w:val="000000"/>
                <w:sz w:val="32"/>
                <w:szCs w:val="32"/>
              </w:rPr>
              <w:t>The two objects should be landing at the same time, shouldn't they?</w:t>
            </w:r>
          </w:p>
        </w:tc>
        <w:tc>
          <w:tcPr>
            <w:tcW w:w="1643" w:type="dxa"/>
            <w:noWrap/>
            <w:hideMark/>
          </w:tcPr>
          <w:p w:rsidR="00531F52" w:rsidRPr="005E310D" w:rsidRDefault="00531F52" w:rsidP="00531F52">
            <w:pPr>
              <w:jc w:val="center"/>
              <w:rPr>
                <w:rFonts w:eastAsia="Times New Roman" w:cs="Times New Roman"/>
                <w:color w:val="000000"/>
                <w:sz w:val="32"/>
                <w:szCs w:val="32"/>
              </w:rPr>
            </w:pPr>
            <w:r w:rsidRPr="005E310D">
              <w:rPr>
                <w:rFonts w:eastAsia="Times New Roman" w:cs="Times New Roman"/>
                <w:color w:val="000000"/>
                <w:sz w:val="32"/>
                <w:szCs w:val="32"/>
              </w:rPr>
              <w:t>3</w:t>
            </w:r>
          </w:p>
        </w:tc>
      </w:tr>
      <w:tr w:rsidR="00531F52" w:rsidRPr="005E310D" w:rsidTr="00531F52">
        <w:trPr>
          <w:trHeight w:val="300"/>
        </w:trPr>
        <w:tc>
          <w:tcPr>
            <w:tcW w:w="8365" w:type="dxa"/>
            <w:noWrap/>
            <w:hideMark/>
          </w:tcPr>
          <w:p w:rsidR="00531F52" w:rsidRPr="005E310D" w:rsidRDefault="00531F52" w:rsidP="00531F52">
            <w:pPr>
              <w:rPr>
                <w:rFonts w:eastAsia="Times New Roman" w:cs="Times New Roman"/>
                <w:color w:val="000000"/>
                <w:sz w:val="32"/>
                <w:szCs w:val="32"/>
              </w:rPr>
            </w:pPr>
            <w:r w:rsidRPr="005E310D">
              <w:rPr>
                <w:rFonts w:eastAsia="Times New Roman" w:cs="Times New Roman"/>
                <w:color w:val="000000"/>
                <w:sz w:val="32"/>
                <w:szCs w:val="32"/>
              </w:rPr>
              <w:t>None</w:t>
            </w:r>
          </w:p>
        </w:tc>
        <w:tc>
          <w:tcPr>
            <w:tcW w:w="1643" w:type="dxa"/>
            <w:noWrap/>
            <w:hideMark/>
          </w:tcPr>
          <w:p w:rsidR="00531F52" w:rsidRPr="005E310D" w:rsidRDefault="00531F52" w:rsidP="00531F52">
            <w:pPr>
              <w:jc w:val="center"/>
              <w:rPr>
                <w:rFonts w:eastAsia="Times New Roman" w:cs="Times New Roman"/>
                <w:color w:val="000000"/>
                <w:sz w:val="32"/>
                <w:szCs w:val="32"/>
              </w:rPr>
            </w:pPr>
            <w:r w:rsidRPr="005E310D">
              <w:rPr>
                <w:rFonts w:eastAsia="Times New Roman" w:cs="Times New Roman"/>
                <w:color w:val="000000"/>
                <w:sz w:val="32"/>
                <w:szCs w:val="32"/>
              </w:rPr>
              <w:t>3</w:t>
            </w:r>
          </w:p>
        </w:tc>
      </w:tr>
      <w:tr w:rsidR="00531F52" w:rsidRPr="005E310D" w:rsidTr="00531F52">
        <w:trPr>
          <w:trHeight w:val="300"/>
        </w:trPr>
        <w:tc>
          <w:tcPr>
            <w:tcW w:w="8365" w:type="dxa"/>
            <w:noWrap/>
            <w:hideMark/>
          </w:tcPr>
          <w:p w:rsidR="00531F52" w:rsidRPr="005E310D" w:rsidRDefault="00531F52" w:rsidP="00531F52">
            <w:pPr>
              <w:rPr>
                <w:rFonts w:eastAsia="Times New Roman" w:cs="Times New Roman"/>
                <w:color w:val="000000"/>
                <w:sz w:val="32"/>
                <w:szCs w:val="32"/>
              </w:rPr>
            </w:pPr>
            <w:r w:rsidRPr="005E310D">
              <w:rPr>
                <w:rFonts w:eastAsia="Times New Roman" w:cs="Times New Roman"/>
                <w:color w:val="000000"/>
                <w:sz w:val="32"/>
                <w:szCs w:val="32"/>
              </w:rPr>
              <w:t>none</w:t>
            </w:r>
          </w:p>
        </w:tc>
        <w:tc>
          <w:tcPr>
            <w:tcW w:w="1643" w:type="dxa"/>
            <w:noWrap/>
            <w:hideMark/>
          </w:tcPr>
          <w:p w:rsidR="00531F52" w:rsidRPr="005E310D" w:rsidRDefault="00531F52" w:rsidP="00531F52">
            <w:pPr>
              <w:jc w:val="center"/>
              <w:rPr>
                <w:rFonts w:eastAsia="Times New Roman" w:cs="Times New Roman"/>
                <w:color w:val="000000"/>
                <w:sz w:val="32"/>
                <w:szCs w:val="32"/>
              </w:rPr>
            </w:pPr>
            <w:r w:rsidRPr="005E310D">
              <w:rPr>
                <w:rFonts w:eastAsia="Times New Roman" w:cs="Times New Roman"/>
                <w:color w:val="000000"/>
                <w:sz w:val="32"/>
                <w:szCs w:val="32"/>
              </w:rPr>
              <w:t>3</w:t>
            </w:r>
          </w:p>
        </w:tc>
      </w:tr>
      <w:tr w:rsidR="00531F52" w:rsidRPr="005E310D" w:rsidTr="00531F52">
        <w:trPr>
          <w:trHeight w:val="300"/>
        </w:trPr>
        <w:tc>
          <w:tcPr>
            <w:tcW w:w="8365" w:type="dxa"/>
            <w:noWrap/>
            <w:hideMark/>
          </w:tcPr>
          <w:p w:rsidR="00531F52" w:rsidRPr="005E310D" w:rsidRDefault="00531F52" w:rsidP="00531F52">
            <w:pPr>
              <w:rPr>
                <w:rFonts w:eastAsia="Times New Roman" w:cs="Times New Roman"/>
                <w:color w:val="000000"/>
                <w:sz w:val="32"/>
                <w:szCs w:val="32"/>
              </w:rPr>
            </w:pPr>
            <w:r w:rsidRPr="005E310D">
              <w:rPr>
                <w:rFonts w:eastAsia="Times New Roman" w:cs="Times New Roman"/>
                <w:color w:val="000000"/>
                <w:sz w:val="32"/>
                <w:szCs w:val="32"/>
              </w:rPr>
              <w:t>none</w:t>
            </w:r>
          </w:p>
        </w:tc>
        <w:tc>
          <w:tcPr>
            <w:tcW w:w="1643" w:type="dxa"/>
            <w:noWrap/>
            <w:hideMark/>
          </w:tcPr>
          <w:p w:rsidR="00531F52" w:rsidRPr="005E310D" w:rsidRDefault="00531F52" w:rsidP="00531F52">
            <w:pPr>
              <w:jc w:val="center"/>
              <w:rPr>
                <w:rFonts w:eastAsia="Times New Roman" w:cs="Times New Roman"/>
                <w:color w:val="000000"/>
                <w:sz w:val="32"/>
                <w:szCs w:val="32"/>
              </w:rPr>
            </w:pPr>
            <w:r w:rsidRPr="005E310D">
              <w:rPr>
                <w:rFonts w:eastAsia="Times New Roman" w:cs="Times New Roman"/>
                <w:color w:val="000000"/>
                <w:sz w:val="32"/>
                <w:szCs w:val="32"/>
              </w:rPr>
              <w:t>2</w:t>
            </w:r>
          </w:p>
        </w:tc>
      </w:tr>
      <w:tr w:rsidR="00531F52" w:rsidRPr="005E310D" w:rsidTr="00531F52">
        <w:trPr>
          <w:trHeight w:val="300"/>
        </w:trPr>
        <w:tc>
          <w:tcPr>
            <w:tcW w:w="8365" w:type="dxa"/>
            <w:noWrap/>
            <w:hideMark/>
          </w:tcPr>
          <w:p w:rsidR="00531F52" w:rsidRPr="005E310D" w:rsidRDefault="00531F52" w:rsidP="00531F52">
            <w:pPr>
              <w:rPr>
                <w:rFonts w:eastAsia="Times New Roman" w:cs="Times New Roman"/>
                <w:color w:val="000000"/>
                <w:sz w:val="32"/>
                <w:szCs w:val="32"/>
              </w:rPr>
            </w:pPr>
            <w:r w:rsidRPr="005E310D">
              <w:rPr>
                <w:rFonts w:eastAsia="Times New Roman" w:cs="Times New Roman"/>
                <w:color w:val="000000"/>
                <w:sz w:val="32"/>
                <w:szCs w:val="32"/>
              </w:rPr>
              <w:t>none</w:t>
            </w:r>
          </w:p>
        </w:tc>
        <w:tc>
          <w:tcPr>
            <w:tcW w:w="1643" w:type="dxa"/>
            <w:noWrap/>
            <w:hideMark/>
          </w:tcPr>
          <w:p w:rsidR="00531F52" w:rsidRPr="005E310D" w:rsidRDefault="00531F52" w:rsidP="00531F52">
            <w:pPr>
              <w:jc w:val="center"/>
              <w:rPr>
                <w:rFonts w:eastAsia="Times New Roman" w:cs="Times New Roman"/>
                <w:color w:val="000000"/>
                <w:sz w:val="32"/>
                <w:szCs w:val="32"/>
              </w:rPr>
            </w:pPr>
            <w:r w:rsidRPr="005E310D">
              <w:rPr>
                <w:rFonts w:eastAsia="Times New Roman" w:cs="Times New Roman"/>
                <w:color w:val="000000"/>
                <w:sz w:val="32"/>
                <w:szCs w:val="32"/>
              </w:rPr>
              <w:t>5</w:t>
            </w:r>
          </w:p>
        </w:tc>
      </w:tr>
      <w:tr w:rsidR="00531F52" w:rsidRPr="005E310D" w:rsidTr="00531F52">
        <w:trPr>
          <w:trHeight w:val="300"/>
        </w:trPr>
        <w:tc>
          <w:tcPr>
            <w:tcW w:w="8365" w:type="dxa"/>
            <w:noWrap/>
            <w:hideMark/>
          </w:tcPr>
          <w:p w:rsidR="00531F52" w:rsidRPr="005E310D" w:rsidRDefault="00531F52" w:rsidP="00531F52">
            <w:pPr>
              <w:rPr>
                <w:rFonts w:eastAsia="Times New Roman" w:cs="Times New Roman"/>
                <w:color w:val="000000"/>
                <w:sz w:val="32"/>
                <w:szCs w:val="32"/>
              </w:rPr>
            </w:pPr>
            <w:r w:rsidRPr="005E310D">
              <w:rPr>
                <w:rFonts w:eastAsia="Times New Roman" w:cs="Times New Roman"/>
                <w:color w:val="000000"/>
                <w:sz w:val="32"/>
                <w:szCs w:val="32"/>
              </w:rPr>
              <w:t xml:space="preserve">The high mass reaches the ground faster </w:t>
            </w:r>
            <w:proofErr w:type="spellStart"/>
            <w:r w:rsidRPr="005E310D">
              <w:rPr>
                <w:rFonts w:eastAsia="Times New Roman" w:cs="Times New Roman"/>
                <w:color w:val="000000"/>
                <w:sz w:val="32"/>
                <w:szCs w:val="32"/>
              </w:rPr>
              <w:t>then</w:t>
            </w:r>
            <w:proofErr w:type="spellEnd"/>
            <w:r w:rsidRPr="005E310D">
              <w:rPr>
                <w:rFonts w:eastAsia="Times New Roman" w:cs="Times New Roman"/>
                <w:color w:val="000000"/>
                <w:sz w:val="32"/>
                <w:szCs w:val="32"/>
              </w:rPr>
              <w:t xml:space="preserve"> the low mass because gravity was pulling it down</w:t>
            </w:r>
          </w:p>
        </w:tc>
        <w:tc>
          <w:tcPr>
            <w:tcW w:w="1643" w:type="dxa"/>
            <w:noWrap/>
            <w:hideMark/>
          </w:tcPr>
          <w:p w:rsidR="00531F52" w:rsidRPr="005E310D" w:rsidRDefault="00531F52" w:rsidP="00531F52">
            <w:pPr>
              <w:jc w:val="center"/>
              <w:rPr>
                <w:rFonts w:eastAsia="Times New Roman" w:cs="Times New Roman"/>
                <w:color w:val="000000"/>
                <w:sz w:val="32"/>
                <w:szCs w:val="32"/>
              </w:rPr>
            </w:pPr>
            <w:r w:rsidRPr="005E310D">
              <w:rPr>
                <w:rFonts w:eastAsia="Times New Roman" w:cs="Times New Roman"/>
                <w:color w:val="000000"/>
                <w:sz w:val="32"/>
                <w:szCs w:val="32"/>
              </w:rPr>
              <w:t>3</w:t>
            </w:r>
          </w:p>
        </w:tc>
      </w:tr>
      <w:tr w:rsidR="00531F52" w:rsidRPr="005E310D" w:rsidTr="00531F52">
        <w:trPr>
          <w:trHeight w:val="300"/>
        </w:trPr>
        <w:tc>
          <w:tcPr>
            <w:tcW w:w="8365" w:type="dxa"/>
            <w:noWrap/>
            <w:hideMark/>
          </w:tcPr>
          <w:p w:rsidR="00531F52" w:rsidRPr="005E310D" w:rsidRDefault="00531F52" w:rsidP="00531F52">
            <w:pPr>
              <w:rPr>
                <w:rFonts w:eastAsia="Times New Roman" w:cs="Times New Roman"/>
                <w:color w:val="000000"/>
                <w:sz w:val="32"/>
                <w:szCs w:val="32"/>
              </w:rPr>
            </w:pPr>
            <w:r w:rsidRPr="005E310D">
              <w:rPr>
                <w:rFonts w:eastAsia="Times New Roman" w:cs="Times New Roman"/>
                <w:color w:val="000000"/>
                <w:sz w:val="32"/>
                <w:szCs w:val="32"/>
              </w:rPr>
              <w:t>Should hit at same time</w:t>
            </w:r>
          </w:p>
        </w:tc>
        <w:tc>
          <w:tcPr>
            <w:tcW w:w="1643" w:type="dxa"/>
            <w:noWrap/>
            <w:hideMark/>
          </w:tcPr>
          <w:p w:rsidR="00531F52" w:rsidRPr="005E310D" w:rsidRDefault="00531F52" w:rsidP="00531F52">
            <w:pPr>
              <w:jc w:val="center"/>
              <w:rPr>
                <w:rFonts w:eastAsia="Times New Roman" w:cs="Times New Roman"/>
                <w:color w:val="000000"/>
                <w:sz w:val="32"/>
                <w:szCs w:val="32"/>
              </w:rPr>
            </w:pPr>
            <w:r w:rsidRPr="005E310D">
              <w:rPr>
                <w:rFonts w:eastAsia="Times New Roman" w:cs="Times New Roman"/>
                <w:color w:val="000000"/>
                <w:sz w:val="32"/>
                <w:szCs w:val="32"/>
              </w:rPr>
              <w:t>6</w:t>
            </w:r>
          </w:p>
        </w:tc>
      </w:tr>
      <w:tr w:rsidR="00531F52" w:rsidRPr="005E310D" w:rsidTr="00531F52">
        <w:trPr>
          <w:trHeight w:val="300"/>
        </w:trPr>
        <w:tc>
          <w:tcPr>
            <w:tcW w:w="8365" w:type="dxa"/>
            <w:noWrap/>
            <w:hideMark/>
          </w:tcPr>
          <w:p w:rsidR="00531F52" w:rsidRPr="005E310D" w:rsidRDefault="00531F52" w:rsidP="00531F52">
            <w:pPr>
              <w:rPr>
                <w:rFonts w:eastAsia="Times New Roman" w:cs="Times New Roman"/>
                <w:color w:val="000000"/>
                <w:sz w:val="32"/>
                <w:szCs w:val="32"/>
              </w:rPr>
            </w:pPr>
            <w:r w:rsidRPr="005E310D">
              <w:rPr>
                <w:rFonts w:eastAsia="Times New Roman" w:cs="Times New Roman"/>
                <w:color w:val="000000"/>
                <w:sz w:val="32"/>
                <w:szCs w:val="32"/>
              </w:rPr>
              <w:t>They would fall at the same rate</w:t>
            </w:r>
          </w:p>
        </w:tc>
        <w:tc>
          <w:tcPr>
            <w:tcW w:w="1643" w:type="dxa"/>
            <w:noWrap/>
            <w:hideMark/>
          </w:tcPr>
          <w:p w:rsidR="00531F52" w:rsidRPr="005E310D" w:rsidRDefault="00531F52" w:rsidP="00531F52">
            <w:pPr>
              <w:jc w:val="center"/>
              <w:rPr>
                <w:rFonts w:eastAsia="Times New Roman" w:cs="Times New Roman"/>
                <w:color w:val="000000"/>
                <w:sz w:val="32"/>
                <w:szCs w:val="32"/>
              </w:rPr>
            </w:pPr>
            <w:r w:rsidRPr="005E310D">
              <w:rPr>
                <w:rFonts w:eastAsia="Times New Roman" w:cs="Times New Roman"/>
                <w:color w:val="000000"/>
                <w:sz w:val="32"/>
                <w:szCs w:val="32"/>
              </w:rPr>
              <w:t>4</w:t>
            </w:r>
          </w:p>
        </w:tc>
      </w:tr>
    </w:tbl>
    <w:p w:rsidR="00B36199" w:rsidRPr="00531F52" w:rsidRDefault="00B36199">
      <w:pPr>
        <w:rPr>
          <w:sz w:val="32"/>
          <w:szCs w:val="32"/>
        </w:rPr>
      </w:pPr>
    </w:p>
    <w:p w:rsidR="00531F52" w:rsidRDefault="00531F52">
      <w:pPr>
        <w:rPr>
          <w:sz w:val="32"/>
          <w:szCs w:val="32"/>
        </w:rPr>
      </w:pPr>
    </w:p>
    <w:p w:rsidR="00531F52" w:rsidRDefault="00531F52">
      <w:pPr>
        <w:rPr>
          <w:sz w:val="32"/>
          <w:szCs w:val="32"/>
        </w:rPr>
      </w:pPr>
    </w:p>
    <w:p w:rsidR="00531F52" w:rsidRDefault="00531F52">
      <w:pPr>
        <w:rPr>
          <w:sz w:val="32"/>
          <w:szCs w:val="32"/>
        </w:rPr>
      </w:pPr>
    </w:p>
    <w:p w:rsidR="00531F52" w:rsidRDefault="00531F52">
      <w:pPr>
        <w:rPr>
          <w:sz w:val="32"/>
          <w:szCs w:val="32"/>
        </w:rPr>
      </w:pPr>
    </w:p>
    <w:p w:rsidR="00531F52" w:rsidRDefault="00531F52">
      <w:pPr>
        <w:rPr>
          <w:sz w:val="32"/>
          <w:szCs w:val="32"/>
        </w:rPr>
      </w:pPr>
    </w:p>
    <w:p w:rsidR="00531F52" w:rsidRPr="003C7577" w:rsidRDefault="00531F52">
      <w:pPr>
        <w:rPr>
          <w:b/>
          <w:sz w:val="32"/>
          <w:szCs w:val="32"/>
        </w:rPr>
      </w:pPr>
      <w:r w:rsidRPr="003C7577">
        <w:rPr>
          <w:b/>
          <w:sz w:val="32"/>
          <w:szCs w:val="32"/>
        </w:rPr>
        <w:lastRenderedPageBreak/>
        <w:t>Example - Collision</w:t>
      </w:r>
    </w:p>
    <w:p w:rsidR="00531F52" w:rsidRDefault="00531F52">
      <w:pPr>
        <w:rPr>
          <w:sz w:val="32"/>
          <w:szCs w:val="32"/>
        </w:rPr>
      </w:pPr>
      <w:r>
        <w:rPr>
          <w:sz w:val="32"/>
          <w:szCs w:val="32"/>
        </w:rPr>
        <w:t>A truck crashes into a brick wall. Essentially, there are no errors in the clip.</w:t>
      </w:r>
    </w:p>
    <w:p w:rsidR="003C7577" w:rsidRPr="00531F52" w:rsidRDefault="003C7577">
      <w:pPr>
        <w:rPr>
          <w:sz w:val="32"/>
          <w:szCs w:val="32"/>
        </w:rPr>
      </w:pPr>
    </w:p>
    <w:p w:rsidR="00B36199" w:rsidRPr="00531F52" w:rsidRDefault="00531F52">
      <w:pPr>
        <w:rPr>
          <w:sz w:val="32"/>
          <w:szCs w:val="32"/>
        </w:rPr>
      </w:pPr>
      <w:r w:rsidRPr="00531F52">
        <w:rPr>
          <w:noProof/>
          <w:sz w:val="32"/>
          <w:szCs w:val="32"/>
        </w:rPr>
        <w:drawing>
          <wp:anchor distT="0" distB="0" distL="114300" distR="114300" simplePos="0" relativeHeight="251660288" behindDoc="1" locked="0" layoutInCell="1" allowOverlap="1">
            <wp:simplePos x="0" y="0"/>
            <wp:positionH relativeFrom="column">
              <wp:posOffset>0</wp:posOffset>
            </wp:positionH>
            <wp:positionV relativeFrom="paragraph">
              <wp:posOffset>-1905</wp:posOffset>
            </wp:positionV>
            <wp:extent cx="4943475" cy="1981200"/>
            <wp:effectExtent l="0" t="0" r="9525" b="0"/>
            <wp:wrapTight wrapText="bothSides">
              <wp:wrapPolygon edited="0">
                <wp:start x="0" y="0"/>
                <wp:lineTo x="0" y="21392"/>
                <wp:lineTo x="21558" y="21392"/>
                <wp:lineTo x="215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943475" cy="1981200"/>
                    </a:xfrm>
                    <a:prstGeom prst="rect">
                      <a:avLst/>
                    </a:prstGeom>
                  </pic:spPr>
                </pic:pic>
              </a:graphicData>
            </a:graphic>
          </wp:anchor>
        </w:drawing>
      </w:r>
    </w:p>
    <w:p w:rsidR="003C7577" w:rsidRDefault="003C7577">
      <w:pPr>
        <w:rPr>
          <w:sz w:val="32"/>
          <w:szCs w:val="32"/>
        </w:rPr>
      </w:pPr>
    </w:p>
    <w:p w:rsidR="003C7577" w:rsidRDefault="003C7577">
      <w:pPr>
        <w:rPr>
          <w:sz w:val="32"/>
          <w:szCs w:val="32"/>
        </w:rPr>
      </w:pPr>
      <w:r>
        <w:rPr>
          <w:sz w:val="32"/>
          <w:szCs w:val="32"/>
        </w:rPr>
        <w:t xml:space="preserve">   </w:t>
      </w:r>
    </w:p>
    <w:p w:rsidR="003C7577" w:rsidRDefault="003C7577">
      <w:pPr>
        <w:rPr>
          <w:sz w:val="32"/>
          <w:szCs w:val="32"/>
        </w:rPr>
      </w:pPr>
    </w:p>
    <w:p w:rsidR="003C7577" w:rsidRPr="00531F52" w:rsidRDefault="003C7577">
      <w:pPr>
        <w:rPr>
          <w:sz w:val="32"/>
          <w:szCs w:val="32"/>
        </w:rPr>
      </w:pPr>
    </w:p>
    <w:tbl>
      <w:tblPr>
        <w:tblStyle w:val="TableGridLight"/>
        <w:tblpPr w:leftFromText="180" w:rightFromText="180" w:vertAnchor="text" w:horzAnchor="margin" w:tblpY="577"/>
        <w:tblW w:w="10008" w:type="dxa"/>
        <w:tblLook w:val="04A0" w:firstRow="1" w:lastRow="0" w:firstColumn="1" w:lastColumn="0" w:noHBand="0" w:noVBand="1"/>
      </w:tblPr>
      <w:tblGrid>
        <w:gridCol w:w="8365"/>
        <w:gridCol w:w="1643"/>
      </w:tblGrid>
      <w:tr w:rsidR="00B36199" w:rsidRPr="00531F52" w:rsidTr="003C7577">
        <w:trPr>
          <w:trHeight w:val="300"/>
        </w:trPr>
        <w:tc>
          <w:tcPr>
            <w:tcW w:w="8365" w:type="dxa"/>
            <w:noWrap/>
          </w:tcPr>
          <w:p w:rsidR="00B36199" w:rsidRPr="00531F52" w:rsidRDefault="00B36199" w:rsidP="003C7577">
            <w:pPr>
              <w:rPr>
                <w:rFonts w:eastAsia="Times New Roman" w:cs="Times New Roman"/>
                <w:color w:val="000000"/>
                <w:sz w:val="32"/>
                <w:szCs w:val="32"/>
              </w:rPr>
            </w:pPr>
            <w:r w:rsidRPr="00531F52">
              <w:rPr>
                <w:rFonts w:eastAsia="Times New Roman" w:cs="Times New Roman"/>
                <w:color w:val="000000"/>
                <w:sz w:val="32"/>
                <w:szCs w:val="32"/>
              </w:rPr>
              <w:t>Subject’s response</w:t>
            </w:r>
          </w:p>
        </w:tc>
        <w:tc>
          <w:tcPr>
            <w:tcW w:w="1643" w:type="dxa"/>
            <w:noWrap/>
          </w:tcPr>
          <w:p w:rsidR="00B36199" w:rsidRPr="00531F52" w:rsidRDefault="00B36199" w:rsidP="003C7577">
            <w:pPr>
              <w:jc w:val="center"/>
              <w:rPr>
                <w:rFonts w:eastAsia="Times New Roman" w:cs="Times New Roman"/>
                <w:color w:val="000000"/>
                <w:sz w:val="32"/>
                <w:szCs w:val="32"/>
              </w:rPr>
            </w:pPr>
            <w:r w:rsidRPr="00531F52">
              <w:rPr>
                <w:rFonts w:eastAsia="Times New Roman" w:cs="Times New Roman"/>
                <w:color w:val="000000"/>
                <w:sz w:val="32"/>
                <w:szCs w:val="32"/>
              </w:rPr>
              <w:t>Mini FCI Score</w:t>
            </w:r>
          </w:p>
        </w:tc>
      </w:tr>
      <w:tr w:rsidR="00B36199" w:rsidRPr="005E310D" w:rsidTr="003C7577">
        <w:trPr>
          <w:trHeight w:val="300"/>
        </w:trPr>
        <w:tc>
          <w:tcPr>
            <w:tcW w:w="8365" w:type="dxa"/>
            <w:noWrap/>
            <w:vAlign w:val="bottom"/>
            <w:hideMark/>
          </w:tcPr>
          <w:p w:rsidR="00B36199" w:rsidRPr="00531F52" w:rsidRDefault="00B36199" w:rsidP="003C7577">
            <w:pPr>
              <w:rPr>
                <w:rFonts w:ascii="Calibri" w:hAnsi="Calibri"/>
                <w:color w:val="000000"/>
                <w:sz w:val="32"/>
                <w:szCs w:val="32"/>
              </w:rPr>
            </w:pPr>
            <w:r w:rsidRPr="00531F52">
              <w:rPr>
                <w:rFonts w:ascii="Calibri" w:hAnsi="Calibri"/>
                <w:color w:val="000000"/>
                <w:sz w:val="32"/>
                <w:szCs w:val="32"/>
              </w:rPr>
              <w:t>The car looks like it's made of rubber. It bounces off the wall too much. A little bounce is reasonable, but this is too much. Also, the wall should be taking some damage.</w:t>
            </w:r>
          </w:p>
        </w:tc>
        <w:tc>
          <w:tcPr>
            <w:tcW w:w="1643" w:type="dxa"/>
            <w:noWrap/>
            <w:hideMark/>
          </w:tcPr>
          <w:p w:rsidR="00B36199" w:rsidRPr="005E310D" w:rsidRDefault="00B36199" w:rsidP="003C7577">
            <w:pPr>
              <w:jc w:val="center"/>
              <w:rPr>
                <w:rFonts w:eastAsia="Times New Roman" w:cs="Times New Roman"/>
                <w:color w:val="000000"/>
                <w:sz w:val="32"/>
                <w:szCs w:val="32"/>
              </w:rPr>
            </w:pPr>
            <w:r w:rsidRPr="005E310D">
              <w:rPr>
                <w:rFonts w:eastAsia="Times New Roman" w:cs="Times New Roman"/>
                <w:color w:val="000000"/>
                <w:sz w:val="32"/>
                <w:szCs w:val="32"/>
              </w:rPr>
              <w:t>3</w:t>
            </w:r>
          </w:p>
        </w:tc>
      </w:tr>
      <w:tr w:rsidR="00B36199" w:rsidRPr="005E310D" w:rsidTr="003C7577">
        <w:trPr>
          <w:trHeight w:val="300"/>
        </w:trPr>
        <w:tc>
          <w:tcPr>
            <w:tcW w:w="8365" w:type="dxa"/>
            <w:noWrap/>
            <w:vAlign w:val="bottom"/>
            <w:hideMark/>
          </w:tcPr>
          <w:p w:rsidR="00B36199" w:rsidRPr="00531F52" w:rsidRDefault="00B36199" w:rsidP="003C7577">
            <w:pPr>
              <w:rPr>
                <w:rFonts w:ascii="Calibri" w:hAnsi="Calibri"/>
                <w:color w:val="000000"/>
                <w:sz w:val="32"/>
                <w:szCs w:val="32"/>
              </w:rPr>
            </w:pPr>
            <w:r w:rsidRPr="00531F52">
              <w:rPr>
                <w:rFonts w:ascii="Calibri" w:hAnsi="Calibri"/>
                <w:color w:val="000000"/>
                <w:sz w:val="32"/>
                <w:szCs w:val="32"/>
              </w:rPr>
              <w:t>None</w:t>
            </w:r>
          </w:p>
        </w:tc>
        <w:tc>
          <w:tcPr>
            <w:tcW w:w="1643" w:type="dxa"/>
            <w:noWrap/>
            <w:hideMark/>
          </w:tcPr>
          <w:p w:rsidR="00B36199" w:rsidRPr="005E310D" w:rsidRDefault="00B36199" w:rsidP="003C7577">
            <w:pPr>
              <w:jc w:val="center"/>
              <w:rPr>
                <w:rFonts w:eastAsia="Times New Roman" w:cs="Times New Roman"/>
                <w:color w:val="000000"/>
                <w:sz w:val="32"/>
                <w:szCs w:val="32"/>
              </w:rPr>
            </w:pPr>
            <w:r w:rsidRPr="005E310D">
              <w:rPr>
                <w:rFonts w:eastAsia="Times New Roman" w:cs="Times New Roman"/>
                <w:color w:val="000000"/>
                <w:sz w:val="32"/>
                <w:szCs w:val="32"/>
              </w:rPr>
              <w:t>3</w:t>
            </w:r>
          </w:p>
        </w:tc>
      </w:tr>
      <w:tr w:rsidR="00B36199" w:rsidRPr="005E310D" w:rsidTr="003C7577">
        <w:trPr>
          <w:trHeight w:val="300"/>
        </w:trPr>
        <w:tc>
          <w:tcPr>
            <w:tcW w:w="8365" w:type="dxa"/>
            <w:noWrap/>
            <w:vAlign w:val="bottom"/>
            <w:hideMark/>
          </w:tcPr>
          <w:p w:rsidR="00B36199" w:rsidRPr="00531F52" w:rsidRDefault="00B36199" w:rsidP="003C7577">
            <w:pPr>
              <w:rPr>
                <w:rFonts w:ascii="Calibri" w:hAnsi="Calibri"/>
                <w:color w:val="000000"/>
                <w:sz w:val="32"/>
                <w:szCs w:val="32"/>
              </w:rPr>
            </w:pPr>
            <w:r w:rsidRPr="00531F52">
              <w:rPr>
                <w:rFonts w:ascii="Calibri" w:hAnsi="Calibri"/>
                <w:color w:val="000000"/>
                <w:sz w:val="32"/>
                <w:szCs w:val="32"/>
              </w:rPr>
              <w:t>None</w:t>
            </w:r>
          </w:p>
        </w:tc>
        <w:tc>
          <w:tcPr>
            <w:tcW w:w="1643" w:type="dxa"/>
            <w:noWrap/>
            <w:hideMark/>
          </w:tcPr>
          <w:p w:rsidR="00B36199" w:rsidRPr="005E310D" w:rsidRDefault="00B36199" w:rsidP="003C7577">
            <w:pPr>
              <w:jc w:val="center"/>
              <w:rPr>
                <w:rFonts w:eastAsia="Times New Roman" w:cs="Times New Roman"/>
                <w:color w:val="000000"/>
                <w:sz w:val="32"/>
                <w:szCs w:val="32"/>
              </w:rPr>
            </w:pPr>
            <w:r w:rsidRPr="005E310D">
              <w:rPr>
                <w:rFonts w:eastAsia="Times New Roman" w:cs="Times New Roman"/>
                <w:color w:val="000000"/>
                <w:sz w:val="32"/>
                <w:szCs w:val="32"/>
              </w:rPr>
              <w:t>3</w:t>
            </w:r>
          </w:p>
        </w:tc>
      </w:tr>
      <w:tr w:rsidR="00B36199" w:rsidRPr="005E310D" w:rsidTr="003C7577">
        <w:trPr>
          <w:trHeight w:val="300"/>
        </w:trPr>
        <w:tc>
          <w:tcPr>
            <w:tcW w:w="8365" w:type="dxa"/>
            <w:noWrap/>
            <w:vAlign w:val="bottom"/>
            <w:hideMark/>
          </w:tcPr>
          <w:p w:rsidR="00B36199" w:rsidRPr="00531F52" w:rsidRDefault="00B36199" w:rsidP="003C7577">
            <w:pPr>
              <w:rPr>
                <w:rFonts w:ascii="Calibri" w:hAnsi="Calibri"/>
                <w:color w:val="000000"/>
                <w:sz w:val="32"/>
                <w:szCs w:val="32"/>
              </w:rPr>
            </w:pPr>
            <w:proofErr w:type="gramStart"/>
            <w:r w:rsidRPr="00531F52">
              <w:rPr>
                <w:rFonts w:ascii="Calibri" w:hAnsi="Calibri"/>
                <w:color w:val="000000"/>
                <w:sz w:val="32"/>
                <w:szCs w:val="32"/>
              </w:rPr>
              <w:t>the</w:t>
            </w:r>
            <w:proofErr w:type="gramEnd"/>
            <w:r w:rsidRPr="00531F52">
              <w:rPr>
                <w:rFonts w:ascii="Calibri" w:hAnsi="Calibri"/>
                <w:color w:val="000000"/>
                <w:sz w:val="32"/>
                <w:szCs w:val="32"/>
              </w:rPr>
              <w:t xml:space="preserve"> mirror kind of freaks out the whole time and decides which direction it wants to fly.</w:t>
            </w:r>
          </w:p>
        </w:tc>
        <w:tc>
          <w:tcPr>
            <w:tcW w:w="1643" w:type="dxa"/>
            <w:noWrap/>
            <w:hideMark/>
          </w:tcPr>
          <w:p w:rsidR="00B36199" w:rsidRPr="005E310D" w:rsidRDefault="00B36199" w:rsidP="003C7577">
            <w:pPr>
              <w:jc w:val="center"/>
              <w:rPr>
                <w:rFonts w:eastAsia="Times New Roman" w:cs="Times New Roman"/>
                <w:color w:val="000000"/>
                <w:sz w:val="32"/>
                <w:szCs w:val="32"/>
              </w:rPr>
            </w:pPr>
            <w:r w:rsidRPr="005E310D">
              <w:rPr>
                <w:rFonts w:eastAsia="Times New Roman" w:cs="Times New Roman"/>
                <w:color w:val="000000"/>
                <w:sz w:val="32"/>
                <w:szCs w:val="32"/>
              </w:rPr>
              <w:t>2</w:t>
            </w:r>
          </w:p>
        </w:tc>
      </w:tr>
      <w:tr w:rsidR="00B36199" w:rsidRPr="005E310D" w:rsidTr="003C7577">
        <w:trPr>
          <w:trHeight w:val="300"/>
        </w:trPr>
        <w:tc>
          <w:tcPr>
            <w:tcW w:w="8365" w:type="dxa"/>
            <w:noWrap/>
            <w:vAlign w:val="bottom"/>
            <w:hideMark/>
          </w:tcPr>
          <w:p w:rsidR="00B36199" w:rsidRPr="00531F52" w:rsidRDefault="00B36199" w:rsidP="003C7577">
            <w:pPr>
              <w:rPr>
                <w:rFonts w:ascii="Calibri" w:hAnsi="Calibri"/>
                <w:color w:val="000000"/>
                <w:sz w:val="32"/>
                <w:szCs w:val="32"/>
              </w:rPr>
            </w:pPr>
            <w:r w:rsidRPr="00531F52">
              <w:rPr>
                <w:rFonts w:ascii="Calibri" w:hAnsi="Calibri"/>
                <w:color w:val="000000"/>
                <w:sz w:val="32"/>
                <w:szCs w:val="32"/>
              </w:rPr>
              <w:t>none</w:t>
            </w:r>
          </w:p>
        </w:tc>
        <w:tc>
          <w:tcPr>
            <w:tcW w:w="1643" w:type="dxa"/>
            <w:noWrap/>
            <w:hideMark/>
          </w:tcPr>
          <w:p w:rsidR="00B36199" w:rsidRPr="005E310D" w:rsidRDefault="00B36199" w:rsidP="003C7577">
            <w:pPr>
              <w:jc w:val="center"/>
              <w:rPr>
                <w:rFonts w:eastAsia="Times New Roman" w:cs="Times New Roman"/>
                <w:color w:val="000000"/>
                <w:sz w:val="32"/>
                <w:szCs w:val="32"/>
              </w:rPr>
            </w:pPr>
            <w:r w:rsidRPr="005E310D">
              <w:rPr>
                <w:rFonts w:eastAsia="Times New Roman" w:cs="Times New Roman"/>
                <w:color w:val="000000"/>
                <w:sz w:val="32"/>
                <w:szCs w:val="32"/>
              </w:rPr>
              <w:t>5</w:t>
            </w:r>
          </w:p>
        </w:tc>
      </w:tr>
      <w:tr w:rsidR="00B36199" w:rsidRPr="005E310D" w:rsidTr="003C7577">
        <w:trPr>
          <w:trHeight w:val="300"/>
        </w:trPr>
        <w:tc>
          <w:tcPr>
            <w:tcW w:w="8365" w:type="dxa"/>
            <w:noWrap/>
            <w:vAlign w:val="bottom"/>
            <w:hideMark/>
          </w:tcPr>
          <w:p w:rsidR="00B36199" w:rsidRPr="00531F52" w:rsidRDefault="00B36199" w:rsidP="003C7577">
            <w:pPr>
              <w:rPr>
                <w:rFonts w:ascii="Calibri" w:hAnsi="Calibri"/>
                <w:color w:val="000000"/>
                <w:sz w:val="32"/>
                <w:szCs w:val="32"/>
              </w:rPr>
            </w:pPr>
            <w:r w:rsidRPr="00531F52">
              <w:rPr>
                <w:rFonts w:ascii="Calibri" w:hAnsi="Calibri"/>
                <w:color w:val="000000"/>
                <w:sz w:val="32"/>
                <w:szCs w:val="32"/>
              </w:rPr>
              <w:t>The speed of the car forced how much more damage the car would take</w:t>
            </w:r>
          </w:p>
        </w:tc>
        <w:tc>
          <w:tcPr>
            <w:tcW w:w="1643" w:type="dxa"/>
            <w:noWrap/>
            <w:hideMark/>
          </w:tcPr>
          <w:p w:rsidR="00B36199" w:rsidRPr="005E310D" w:rsidRDefault="00B36199" w:rsidP="003C7577">
            <w:pPr>
              <w:jc w:val="center"/>
              <w:rPr>
                <w:rFonts w:eastAsia="Times New Roman" w:cs="Times New Roman"/>
                <w:color w:val="000000"/>
                <w:sz w:val="32"/>
                <w:szCs w:val="32"/>
              </w:rPr>
            </w:pPr>
            <w:r w:rsidRPr="005E310D">
              <w:rPr>
                <w:rFonts w:eastAsia="Times New Roman" w:cs="Times New Roman"/>
                <w:color w:val="000000"/>
                <w:sz w:val="32"/>
                <w:szCs w:val="32"/>
              </w:rPr>
              <w:t>3</w:t>
            </w:r>
          </w:p>
        </w:tc>
      </w:tr>
      <w:tr w:rsidR="00B36199" w:rsidRPr="005E310D" w:rsidTr="003C7577">
        <w:trPr>
          <w:trHeight w:val="300"/>
        </w:trPr>
        <w:tc>
          <w:tcPr>
            <w:tcW w:w="8365" w:type="dxa"/>
            <w:noWrap/>
            <w:vAlign w:val="bottom"/>
            <w:hideMark/>
          </w:tcPr>
          <w:p w:rsidR="00B36199" w:rsidRPr="00531F52" w:rsidRDefault="00B36199" w:rsidP="003C7577">
            <w:pPr>
              <w:rPr>
                <w:rFonts w:ascii="Calibri" w:hAnsi="Calibri"/>
                <w:color w:val="000000"/>
                <w:sz w:val="32"/>
                <w:szCs w:val="32"/>
              </w:rPr>
            </w:pPr>
            <w:r w:rsidRPr="00531F52">
              <w:rPr>
                <w:rFonts w:ascii="Calibri" w:hAnsi="Calibri"/>
                <w:color w:val="000000"/>
                <w:sz w:val="32"/>
                <w:szCs w:val="32"/>
              </w:rPr>
              <w:t xml:space="preserve">nothing </w:t>
            </w:r>
            <w:proofErr w:type="spellStart"/>
            <w:r w:rsidRPr="00531F52">
              <w:rPr>
                <w:rFonts w:ascii="Calibri" w:hAnsi="Calibri"/>
                <w:color w:val="000000"/>
                <w:sz w:val="32"/>
                <w:szCs w:val="32"/>
              </w:rPr>
              <w:t>noticably</w:t>
            </w:r>
            <w:proofErr w:type="spellEnd"/>
            <w:r w:rsidRPr="00531F52">
              <w:rPr>
                <w:rFonts w:ascii="Calibri" w:hAnsi="Calibri"/>
                <w:color w:val="000000"/>
                <w:sz w:val="32"/>
                <w:szCs w:val="32"/>
              </w:rPr>
              <w:t xml:space="preserve"> wrong</w:t>
            </w:r>
            <w:r w:rsidRPr="00531F52">
              <w:rPr>
                <w:rFonts w:ascii="Calibri" w:hAnsi="Calibri"/>
                <w:color w:val="000000"/>
                <w:sz w:val="32"/>
                <w:szCs w:val="32"/>
              </w:rPr>
              <w:t xml:space="preserve"> </w:t>
            </w:r>
            <w:r w:rsidRPr="00531F52">
              <w:rPr>
                <w:rFonts w:ascii="Calibri" w:hAnsi="Calibri"/>
                <w:color w:val="000000"/>
                <w:sz w:val="32"/>
                <w:szCs w:val="32"/>
              </w:rPr>
              <w:t>None</w:t>
            </w:r>
          </w:p>
        </w:tc>
        <w:tc>
          <w:tcPr>
            <w:tcW w:w="1643" w:type="dxa"/>
            <w:noWrap/>
            <w:hideMark/>
          </w:tcPr>
          <w:p w:rsidR="00B36199" w:rsidRPr="005E310D" w:rsidRDefault="00B36199" w:rsidP="003C7577">
            <w:pPr>
              <w:jc w:val="center"/>
              <w:rPr>
                <w:rFonts w:eastAsia="Times New Roman" w:cs="Times New Roman"/>
                <w:color w:val="000000"/>
                <w:sz w:val="32"/>
                <w:szCs w:val="32"/>
              </w:rPr>
            </w:pPr>
            <w:r w:rsidRPr="005E310D">
              <w:rPr>
                <w:rFonts w:eastAsia="Times New Roman" w:cs="Times New Roman"/>
                <w:color w:val="000000"/>
                <w:sz w:val="32"/>
                <w:szCs w:val="32"/>
              </w:rPr>
              <w:t>6</w:t>
            </w:r>
          </w:p>
        </w:tc>
      </w:tr>
      <w:tr w:rsidR="00B36199" w:rsidRPr="005E310D" w:rsidTr="003C7577">
        <w:trPr>
          <w:trHeight w:val="300"/>
        </w:trPr>
        <w:tc>
          <w:tcPr>
            <w:tcW w:w="8365" w:type="dxa"/>
            <w:noWrap/>
            <w:vAlign w:val="bottom"/>
            <w:hideMark/>
          </w:tcPr>
          <w:p w:rsidR="00B36199" w:rsidRPr="00531F52" w:rsidRDefault="00B36199" w:rsidP="003C7577">
            <w:pPr>
              <w:rPr>
                <w:rFonts w:ascii="Calibri" w:hAnsi="Calibri"/>
                <w:color w:val="000000"/>
                <w:sz w:val="32"/>
                <w:szCs w:val="32"/>
              </w:rPr>
            </w:pPr>
            <w:r w:rsidRPr="00531F52">
              <w:rPr>
                <w:rFonts w:ascii="Calibri" w:hAnsi="Calibri"/>
                <w:color w:val="000000"/>
                <w:sz w:val="32"/>
                <w:szCs w:val="32"/>
              </w:rPr>
              <w:t>The car would exert some force on the walls and the car front would not completely deteriorate like that</w:t>
            </w:r>
          </w:p>
        </w:tc>
        <w:tc>
          <w:tcPr>
            <w:tcW w:w="1643" w:type="dxa"/>
            <w:noWrap/>
            <w:hideMark/>
          </w:tcPr>
          <w:p w:rsidR="00B36199" w:rsidRPr="005E310D" w:rsidRDefault="00B36199" w:rsidP="003C7577">
            <w:pPr>
              <w:jc w:val="center"/>
              <w:rPr>
                <w:rFonts w:eastAsia="Times New Roman" w:cs="Times New Roman"/>
                <w:color w:val="000000"/>
                <w:sz w:val="32"/>
                <w:szCs w:val="32"/>
              </w:rPr>
            </w:pPr>
            <w:r w:rsidRPr="005E310D">
              <w:rPr>
                <w:rFonts w:eastAsia="Times New Roman" w:cs="Times New Roman"/>
                <w:color w:val="000000"/>
                <w:sz w:val="32"/>
                <w:szCs w:val="32"/>
              </w:rPr>
              <w:t>4</w:t>
            </w:r>
          </w:p>
        </w:tc>
      </w:tr>
    </w:tbl>
    <w:p w:rsidR="005E310D" w:rsidRPr="00531F52" w:rsidRDefault="005E310D">
      <w:pPr>
        <w:rPr>
          <w:sz w:val="32"/>
          <w:szCs w:val="32"/>
        </w:rPr>
      </w:pPr>
    </w:p>
    <w:p w:rsidR="00CE0715" w:rsidRPr="00531F52" w:rsidRDefault="00CE0715">
      <w:pPr>
        <w:rPr>
          <w:sz w:val="32"/>
          <w:szCs w:val="32"/>
        </w:rPr>
      </w:pPr>
    </w:p>
    <w:p w:rsidR="003C7577" w:rsidRDefault="003C7577" w:rsidP="005D186C">
      <w:pPr>
        <w:rPr>
          <w:sz w:val="32"/>
          <w:szCs w:val="32"/>
        </w:rPr>
      </w:pPr>
    </w:p>
    <w:p w:rsidR="003C7577" w:rsidRDefault="003C7577" w:rsidP="005D186C">
      <w:pPr>
        <w:rPr>
          <w:sz w:val="32"/>
          <w:szCs w:val="32"/>
        </w:rPr>
      </w:pPr>
      <w:r w:rsidRPr="003C7577">
        <w:rPr>
          <w:b/>
          <w:sz w:val="32"/>
          <w:szCs w:val="32"/>
        </w:rPr>
        <w:lastRenderedPageBreak/>
        <w:t>Discussion</w:t>
      </w:r>
      <w:r>
        <w:rPr>
          <w:sz w:val="32"/>
          <w:szCs w:val="32"/>
        </w:rPr>
        <w:t xml:space="preserve"> – the sample size was too small to conduct statistical analysis. Anecdotally, it seems that there is a connection between physics conceptual understanding and identifying errors in video. Subjects with higher Mini-FCI scores more often correctly found errors in the videos. </w:t>
      </w:r>
    </w:p>
    <w:p w:rsidR="005D186C" w:rsidRPr="00531F52" w:rsidRDefault="005D186C" w:rsidP="005D186C">
      <w:pPr>
        <w:rPr>
          <w:sz w:val="32"/>
          <w:szCs w:val="32"/>
        </w:rPr>
      </w:pPr>
      <w:r w:rsidRPr="00531F52">
        <w:rPr>
          <w:sz w:val="32"/>
          <w:szCs w:val="32"/>
        </w:rPr>
        <w:t xml:space="preserve">Anderson, Janice; </w:t>
      </w:r>
      <w:r w:rsidRPr="00531F52">
        <w:rPr>
          <w:b/>
          <w:sz w:val="32"/>
          <w:szCs w:val="32"/>
        </w:rPr>
        <w:t>Barnett Michael Using Video Games to Support Pre-Service Elementary Teachers Learning of Basic Physics Principles</w:t>
      </w:r>
      <w:r w:rsidRPr="00531F52">
        <w:rPr>
          <w:sz w:val="32"/>
          <w:szCs w:val="32"/>
        </w:rPr>
        <w:t xml:space="preserve">, </w:t>
      </w:r>
      <w:r w:rsidRPr="00531F52">
        <w:rPr>
          <w:i/>
          <w:sz w:val="32"/>
          <w:szCs w:val="32"/>
        </w:rPr>
        <w:t>Journal of Science Education and Technology</w:t>
      </w:r>
      <w:r w:rsidRPr="00531F52">
        <w:rPr>
          <w:sz w:val="32"/>
          <w:szCs w:val="32"/>
        </w:rPr>
        <w:t xml:space="preserve"> August 2011, Volume 20, Issue 4, pp 347–362</w:t>
      </w:r>
    </w:p>
    <w:p w:rsidR="005D186C" w:rsidRPr="00531F52" w:rsidRDefault="005D186C" w:rsidP="005D186C">
      <w:pPr>
        <w:rPr>
          <w:sz w:val="32"/>
          <w:szCs w:val="32"/>
        </w:rPr>
      </w:pPr>
      <w:r w:rsidRPr="00531F52">
        <w:rPr>
          <w:sz w:val="32"/>
          <w:szCs w:val="32"/>
        </w:rPr>
        <w:t xml:space="preserve">Green, C. Shawn; Bavelier, Daphne, </w:t>
      </w:r>
      <w:r w:rsidRPr="00531F52">
        <w:rPr>
          <w:b/>
          <w:sz w:val="32"/>
          <w:szCs w:val="32"/>
        </w:rPr>
        <w:t>Effect of action video games on the spatial distribution of visuospatial attention.</w:t>
      </w:r>
      <w:r w:rsidRPr="00531F52">
        <w:rPr>
          <w:sz w:val="32"/>
          <w:szCs w:val="32"/>
        </w:rPr>
        <w:t xml:space="preserve"> </w:t>
      </w:r>
    </w:p>
    <w:p w:rsidR="005D186C" w:rsidRPr="00531F52" w:rsidRDefault="005D186C" w:rsidP="005D186C">
      <w:pPr>
        <w:rPr>
          <w:sz w:val="32"/>
          <w:szCs w:val="32"/>
        </w:rPr>
      </w:pPr>
      <w:r w:rsidRPr="00531F52">
        <w:rPr>
          <w:i/>
          <w:sz w:val="32"/>
          <w:szCs w:val="32"/>
        </w:rPr>
        <w:t>Journal of Experimental Psychology: Human Perception and Performance,</w:t>
      </w:r>
      <w:r w:rsidRPr="00531F52">
        <w:rPr>
          <w:sz w:val="32"/>
          <w:szCs w:val="32"/>
        </w:rPr>
        <w:t xml:space="preserve"> Vol 32(6), Dec 2006, 1465-1478.</w:t>
      </w:r>
    </w:p>
    <w:p w:rsidR="005D186C" w:rsidRPr="00531F52" w:rsidRDefault="005D186C" w:rsidP="005D186C">
      <w:pPr>
        <w:rPr>
          <w:sz w:val="32"/>
          <w:szCs w:val="32"/>
        </w:rPr>
      </w:pPr>
      <w:proofErr w:type="spellStart"/>
      <w:r w:rsidRPr="00531F52">
        <w:rPr>
          <w:sz w:val="32"/>
          <w:szCs w:val="32"/>
        </w:rPr>
        <w:t>Merrilea</w:t>
      </w:r>
      <w:proofErr w:type="spellEnd"/>
      <w:r w:rsidRPr="00531F52">
        <w:rPr>
          <w:sz w:val="32"/>
          <w:szCs w:val="32"/>
        </w:rPr>
        <w:t xml:space="preserve"> J. Mayo, </w:t>
      </w:r>
      <w:r w:rsidRPr="00531F52">
        <w:rPr>
          <w:b/>
          <w:sz w:val="32"/>
          <w:szCs w:val="32"/>
        </w:rPr>
        <w:t>Video games: A route to large-scale STEM education?</w:t>
      </w:r>
      <w:r w:rsidRPr="00531F52">
        <w:rPr>
          <w:sz w:val="32"/>
          <w:szCs w:val="32"/>
        </w:rPr>
        <w:t xml:space="preserve"> </w:t>
      </w:r>
      <w:r w:rsidRPr="00531F52">
        <w:rPr>
          <w:i/>
          <w:sz w:val="32"/>
          <w:szCs w:val="32"/>
        </w:rPr>
        <w:t>Science</w:t>
      </w:r>
      <w:r w:rsidRPr="00531F52">
        <w:rPr>
          <w:sz w:val="32"/>
          <w:szCs w:val="32"/>
        </w:rPr>
        <w:t xml:space="preserve"> Jan 2009, Vol. 323, Issue 5910, pp. 79-82 DOI: 10.1126/science.1166900</w:t>
      </w:r>
    </w:p>
    <w:p w:rsidR="005D186C" w:rsidRPr="00531F52" w:rsidRDefault="005D186C" w:rsidP="005D186C">
      <w:pPr>
        <w:rPr>
          <w:sz w:val="32"/>
          <w:szCs w:val="32"/>
        </w:rPr>
      </w:pPr>
      <w:r w:rsidRPr="00531F52">
        <w:rPr>
          <w:sz w:val="32"/>
          <w:szCs w:val="32"/>
        </w:rPr>
        <w:t xml:space="preserve">M Rodrigues; P </w:t>
      </w:r>
      <w:proofErr w:type="spellStart"/>
      <w:r w:rsidRPr="00531F52">
        <w:rPr>
          <w:sz w:val="32"/>
          <w:szCs w:val="32"/>
        </w:rPr>
        <w:t>Simeão</w:t>
      </w:r>
      <w:proofErr w:type="spellEnd"/>
      <w:r w:rsidRPr="00531F52">
        <w:rPr>
          <w:sz w:val="32"/>
          <w:szCs w:val="32"/>
        </w:rPr>
        <w:t xml:space="preserve"> </w:t>
      </w:r>
      <w:proofErr w:type="spellStart"/>
      <w:r w:rsidRPr="00531F52">
        <w:rPr>
          <w:sz w:val="32"/>
          <w:szCs w:val="32"/>
        </w:rPr>
        <w:t>Carvalho</w:t>
      </w:r>
      <w:proofErr w:type="spellEnd"/>
      <w:r w:rsidRPr="00531F52">
        <w:rPr>
          <w:sz w:val="32"/>
          <w:szCs w:val="32"/>
        </w:rPr>
        <w:t xml:space="preserve"> </w:t>
      </w:r>
      <w:r w:rsidRPr="00531F52">
        <w:rPr>
          <w:b/>
          <w:sz w:val="32"/>
          <w:szCs w:val="32"/>
        </w:rPr>
        <w:t>Teaching physics with Angry Birds: exploring the kinematics and dynamics of the game</w:t>
      </w:r>
      <w:r w:rsidRPr="00531F52">
        <w:rPr>
          <w:sz w:val="32"/>
          <w:szCs w:val="32"/>
        </w:rPr>
        <w:t xml:space="preserve"> </w:t>
      </w:r>
      <w:r w:rsidRPr="00531F52">
        <w:rPr>
          <w:i/>
          <w:sz w:val="32"/>
          <w:szCs w:val="32"/>
        </w:rPr>
        <w:t>Physics Education</w:t>
      </w:r>
      <w:r w:rsidRPr="00531F52">
        <w:rPr>
          <w:sz w:val="32"/>
          <w:szCs w:val="32"/>
        </w:rPr>
        <w:t xml:space="preserve"> 2013 IOP Publishing Ltd, Volume 48, Number 4</w:t>
      </w:r>
    </w:p>
    <w:p w:rsidR="005D186C" w:rsidRPr="00531F52" w:rsidRDefault="005D186C" w:rsidP="005D186C">
      <w:pPr>
        <w:rPr>
          <w:sz w:val="32"/>
          <w:szCs w:val="32"/>
        </w:rPr>
      </w:pPr>
      <w:r w:rsidRPr="00531F52">
        <w:rPr>
          <w:sz w:val="32"/>
          <w:szCs w:val="32"/>
        </w:rPr>
        <w:t xml:space="preserve">Shute Valerie J., Ventura, Matthew, and Kim, Yoon Jeon, </w:t>
      </w:r>
      <w:r w:rsidRPr="00531F52">
        <w:rPr>
          <w:b/>
          <w:sz w:val="32"/>
          <w:szCs w:val="32"/>
        </w:rPr>
        <w:t>Assessment and Learning of Qualitative Physics in Newton's Playground</w:t>
      </w:r>
      <w:r w:rsidRPr="00531F52">
        <w:rPr>
          <w:i/>
          <w:sz w:val="32"/>
          <w:szCs w:val="32"/>
        </w:rPr>
        <w:t>, The Journal of Educational Research</w:t>
      </w:r>
      <w:r w:rsidRPr="00531F52">
        <w:rPr>
          <w:sz w:val="32"/>
          <w:szCs w:val="32"/>
        </w:rPr>
        <w:t xml:space="preserve"> Vol. </w:t>
      </w:r>
      <w:r w:rsidRPr="00531F52">
        <w:rPr>
          <w:noProof/>
          <w:sz w:val="32"/>
          <w:szCs w:val="32"/>
        </w:rPr>
        <w:t>106,</w:t>
      </w:r>
      <w:r w:rsidRPr="00531F52">
        <w:rPr>
          <w:sz w:val="32"/>
          <w:szCs w:val="32"/>
        </w:rPr>
        <w:t xml:space="preserve"> </w:t>
      </w:r>
      <w:proofErr w:type="spellStart"/>
      <w:r w:rsidRPr="00531F52">
        <w:rPr>
          <w:sz w:val="32"/>
          <w:szCs w:val="32"/>
        </w:rPr>
        <w:t>Iss</w:t>
      </w:r>
      <w:proofErr w:type="spellEnd"/>
      <w:r w:rsidRPr="00531F52">
        <w:rPr>
          <w:sz w:val="32"/>
          <w:szCs w:val="32"/>
        </w:rPr>
        <w:t>. 6</w:t>
      </w:r>
      <w:proofErr w:type="gramStart"/>
      <w:r w:rsidRPr="00531F52">
        <w:rPr>
          <w:sz w:val="32"/>
          <w:szCs w:val="32"/>
        </w:rPr>
        <w:t>,2013</w:t>
      </w:r>
      <w:proofErr w:type="gramEnd"/>
    </w:p>
    <w:p w:rsidR="005D186C" w:rsidRPr="00531F52" w:rsidRDefault="005D186C" w:rsidP="005D186C">
      <w:pPr>
        <w:spacing w:after="0" w:line="240" w:lineRule="auto"/>
        <w:jc w:val="center"/>
        <w:rPr>
          <w:sz w:val="32"/>
          <w:szCs w:val="32"/>
        </w:rPr>
      </w:pPr>
    </w:p>
    <w:sectPr w:rsidR="005D186C" w:rsidRPr="00531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6C"/>
    <w:rsid w:val="00347EBE"/>
    <w:rsid w:val="003C7577"/>
    <w:rsid w:val="00531F52"/>
    <w:rsid w:val="005C341B"/>
    <w:rsid w:val="005D186C"/>
    <w:rsid w:val="005E310D"/>
    <w:rsid w:val="00973C56"/>
    <w:rsid w:val="00B36199"/>
    <w:rsid w:val="00C83C01"/>
    <w:rsid w:val="00CE0715"/>
    <w:rsid w:val="00D1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CE2FE-213C-4AF7-BF76-5272BD49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86C"/>
  </w:style>
  <w:style w:type="paragraph" w:styleId="Heading1">
    <w:name w:val="heading 1"/>
    <w:basedOn w:val="Normal"/>
    <w:next w:val="Normal"/>
    <w:link w:val="Heading1Char"/>
    <w:uiPriority w:val="9"/>
    <w:qFormat/>
    <w:rsid w:val="005D186C"/>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D186C"/>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D186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D186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D186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D186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D186C"/>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D186C"/>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D186C"/>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86C"/>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5D186C"/>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D186C"/>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D186C"/>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D186C"/>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D186C"/>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D186C"/>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D186C"/>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D186C"/>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D186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D186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D186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D186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D186C"/>
    <w:rPr>
      <w:caps/>
      <w:color w:val="404040" w:themeColor="text1" w:themeTint="BF"/>
      <w:spacing w:val="20"/>
      <w:sz w:val="28"/>
      <w:szCs w:val="28"/>
    </w:rPr>
  </w:style>
  <w:style w:type="character" w:styleId="Strong">
    <w:name w:val="Strong"/>
    <w:basedOn w:val="DefaultParagraphFont"/>
    <w:uiPriority w:val="22"/>
    <w:qFormat/>
    <w:rsid w:val="005D186C"/>
    <w:rPr>
      <w:b/>
      <w:bCs/>
    </w:rPr>
  </w:style>
  <w:style w:type="character" w:styleId="Emphasis">
    <w:name w:val="Emphasis"/>
    <w:basedOn w:val="DefaultParagraphFont"/>
    <w:uiPriority w:val="20"/>
    <w:qFormat/>
    <w:rsid w:val="005D186C"/>
    <w:rPr>
      <w:i/>
      <w:iCs/>
      <w:color w:val="000000" w:themeColor="text1"/>
    </w:rPr>
  </w:style>
  <w:style w:type="paragraph" w:styleId="NoSpacing">
    <w:name w:val="No Spacing"/>
    <w:uiPriority w:val="1"/>
    <w:qFormat/>
    <w:rsid w:val="005D186C"/>
    <w:pPr>
      <w:spacing w:after="0" w:line="240" w:lineRule="auto"/>
    </w:pPr>
  </w:style>
  <w:style w:type="paragraph" w:styleId="Quote">
    <w:name w:val="Quote"/>
    <w:basedOn w:val="Normal"/>
    <w:next w:val="Normal"/>
    <w:link w:val="QuoteChar"/>
    <w:uiPriority w:val="29"/>
    <w:qFormat/>
    <w:rsid w:val="005D186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D186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D186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D186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D186C"/>
    <w:rPr>
      <w:i/>
      <w:iCs/>
      <w:color w:val="595959" w:themeColor="text1" w:themeTint="A6"/>
    </w:rPr>
  </w:style>
  <w:style w:type="character" w:styleId="IntenseEmphasis">
    <w:name w:val="Intense Emphasis"/>
    <w:basedOn w:val="DefaultParagraphFont"/>
    <w:uiPriority w:val="21"/>
    <w:qFormat/>
    <w:rsid w:val="005D186C"/>
    <w:rPr>
      <w:b/>
      <w:bCs/>
      <w:i/>
      <w:iCs/>
      <w:caps w:val="0"/>
      <w:smallCaps w:val="0"/>
      <w:strike w:val="0"/>
      <w:dstrike w:val="0"/>
      <w:color w:val="ED7D31" w:themeColor="accent2"/>
    </w:rPr>
  </w:style>
  <w:style w:type="character" w:styleId="SubtleReference">
    <w:name w:val="Subtle Reference"/>
    <w:basedOn w:val="DefaultParagraphFont"/>
    <w:uiPriority w:val="31"/>
    <w:qFormat/>
    <w:rsid w:val="005D186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D186C"/>
    <w:rPr>
      <w:b/>
      <w:bCs/>
      <w:caps w:val="0"/>
      <w:smallCaps/>
      <w:color w:val="auto"/>
      <w:spacing w:val="0"/>
      <w:u w:val="single"/>
    </w:rPr>
  </w:style>
  <w:style w:type="character" w:styleId="BookTitle">
    <w:name w:val="Book Title"/>
    <w:basedOn w:val="DefaultParagraphFont"/>
    <w:uiPriority w:val="33"/>
    <w:qFormat/>
    <w:rsid w:val="005D186C"/>
    <w:rPr>
      <w:b/>
      <w:bCs/>
      <w:caps w:val="0"/>
      <w:smallCaps/>
      <w:spacing w:val="0"/>
    </w:rPr>
  </w:style>
  <w:style w:type="paragraph" w:styleId="TOCHeading">
    <w:name w:val="TOC Heading"/>
    <w:basedOn w:val="Heading1"/>
    <w:next w:val="Normal"/>
    <w:uiPriority w:val="39"/>
    <w:semiHidden/>
    <w:unhideWhenUsed/>
    <w:qFormat/>
    <w:rsid w:val="005D186C"/>
    <w:pPr>
      <w:outlineLvl w:val="9"/>
    </w:pPr>
  </w:style>
  <w:style w:type="table" w:styleId="TableGridLight">
    <w:name w:val="Grid Table Light"/>
    <w:basedOn w:val="TableNormal"/>
    <w:uiPriority w:val="40"/>
    <w:rsid w:val="005E31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5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Sobolewski</dc:creator>
  <cp:keywords/>
  <dc:description/>
  <cp:lastModifiedBy>Stanley Sobolewski</cp:lastModifiedBy>
  <cp:revision>3</cp:revision>
  <dcterms:created xsi:type="dcterms:W3CDTF">2017-02-17T18:00:00Z</dcterms:created>
  <dcterms:modified xsi:type="dcterms:W3CDTF">2017-02-17T20:18:00Z</dcterms:modified>
</cp:coreProperties>
</file>